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582B" w14:textId="4E0A38B7" w:rsidR="00045733" w:rsidRPr="00736488" w:rsidRDefault="007A3493" w:rsidP="007A3493">
      <w:pPr>
        <w:pStyle w:val="Heading1"/>
        <w:jc w:val="center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USING A TRANSFER BELT</w:t>
      </w:r>
    </w:p>
    <w:p w14:paraId="4D240BB7" w14:textId="77777777" w:rsidR="00045733" w:rsidRPr="00736488" w:rsidRDefault="00045733" w:rsidP="00045733">
      <w:pPr>
        <w:rPr>
          <w:rFonts w:cs="Arial"/>
          <w:lang w:val="en-CA"/>
        </w:rPr>
      </w:pPr>
      <w:r w:rsidRPr="00736488">
        <w:rPr>
          <w:rFonts w:cs="Arial"/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2125C65F" wp14:editId="4137E867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20383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98" y="21330"/>
                <wp:lineTo x="21398" y="0"/>
                <wp:lineTo x="0" y="0"/>
              </wp:wrapPolygon>
            </wp:wrapTight>
            <wp:docPr id="5" name="Picture 5" descr="Sunnyfield Transfer Walking Belts">
              <a:hlinkClick xmlns:a="http://schemas.openxmlformats.org/drawingml/2006/main" r:id="rId7" tooltip="&quot;Sunnyfield Transfer Walking Bel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nyfield Transfer Walking Belts">
                      <a:hlinkClick r:id="rId7" tooltip="&quot;Sunnyfield Transfer Walking Bel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2" r="2419" b="12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237C1" w14:textId="2D0427B2" w:rsidR="00045733" w:rsidRPr="00752CA8" w:rsidRDefault="00045733" w:rsidP="00045733">
      <w:pPr>
        <w:rPr>
          <w:rFonts w:cs="Arial"/>
          <w:szCs w:val="24"/>
        </w:rPr>
      </w:pPr>
      <w:r w:rsidRPr="00752CA8">
        <w:rPr>
          <w:rFonts w:cs="Arial"/>
          <w:szCs w:val="24"/>
        </w:rPr>
        <w:t>Transfer belts are pieces of equipment that may be recommended by a physiotherapist for clients who require hands-on assistance for balance, to assist them to move around safely.</w:t>
      </w:r>
    </w:p>
    <w:p w14:paraId="5381E3DE" w14:textId="77777777" w:rsidR="00045733" w:rsidRPr="00752CA8" w:rsidRDefault="00045733" w:rsidP="00045733">
      <w:pPr>
        <w:rPr>
          <w:rFonts w:cs="Arial"/>
          <w:szCs w:val="24"/>
        </w:rPr>
      </w:pPr>
    </w:p>
    <w:p w14:paraId="390FA61F" w14:textId="7A3C348E" w:rsidR="00045733" w:rsidRPr="00752CA8" w:rsidRDefault="00045733" w:rsidP="00045733">
      <w:pPr>
        <w:rPr>
          <w:rFonts w:cs="Arial"/>
          <w:szCs w:val="24"/>
        </w:rPr>
      </w:pPr>
      <w:r w:rsidRPr="00752CA8">
        <w:rPr>
          <w:rFonts w:cs="Arial"/>
          <w:szCs w:val="24"/>
        </w:rPr>
        <w:t xml:space="preserve">The belt has multiple straps around it running vertically, and these may be effective handholds. It is safer to assist a </w:t>
      </w:r>
      <w:r w:rsidR="007A3493">
        <w:rPr>
          <w:rFonts w:cs="Arial"/>
          <w:szCs w:val="24"/>
        </w:rPr>
        <w:t>client</w:t>
      </w:r>
      <w:r w:rsidRPr="00752CA8">
        <w:rPr>
          <w:rFonts w:cs="Arial"/>
          <w:szCs w:val="24"/>
        </w:rPr>
        <w:t xml:space="preserve"> while holding onto the handles of the transfer belt rather than grasping them under the arm or by a piece of their clothing.</w:t>
      </w:r>
    </w:p>
    <w:p w14:paraId="2864D160" w14:textId="77777777" w:rsidR="00045733" w:rsidRPr="00752CA8" w:rsidRDefault="00045733" w:rsidP="00045733">
      <w:pPr>
        <w:rPr>
          <w:rFonts w:cs="Arial"/>
          <w:szCs w:val="24"/>
        </w:rPr>
      </w:pPr>
    </w:p>
    <w:p w14:paraId="2A5C878F" w14:textId="77777777" w:rsidR="00736488" w:rsidRPr="00752CA8" w:rsidRDefault="00045733" w:rsidP="00045733">
      <w:pPr>
        <w:rPr>
          <w:rFonts w:cs="Arial"/>
          <w:szCs w:val="24"/>
        </w:rPr>
      </w:pPr>
      <w:r w:rsidRPr="00752CA8">
        <w:rPr>
          <w:rFonts w:cs="Arial"/>
          <w:noProof/>
          <w:color w:val="0000FF"/>
          <w:szCs w:val="24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18DB929C" wp14:editId="3A942052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201930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96" y="21464"/>
                <wp:lineTo x="21396" y="0"/>
                <wp:lineTo x="0" y="0"/>
              </wp:wrapPolygon>
            </wp:wrapTight>
            <wp:docPr id="4" name="Picture 4" descr="Related 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2CA8">
        <w:rPr>
          <w:rFonts w:cs="Arial"/>
          <w:szCs w:val="24"/>
        </w:rPr>
        <w:t xml:space="preserve">The belt is not, under any circumstances, to be used as a lifting device. </w:t>
      </w:r>
    </w:p>
    <w:p w14:paraId="60CD68AA" w14:textId="7B4893D7" w:rsidR="00045733" w:rsidRPr="00752CA8" w:rsidRDefault="00045733" w:rsidP="00045733">
      <w:pPr>
        <w:rPr>
          <w:rFonts w:cs="Arial"/>
          <w:b/>
          <w:szCs w:val="24"/>
        </w:rPr>
      </w:pPr>
      <w:r w:rsidRPr="00752CA8">
        <w:rPr>
          <w:rFonts w:cs="Arial"/>
          <w:b/>
          <w:szCs w:val="24"/>
        </w:rPr>
        <w:t>A client should never be lifted by the handles on the belt.</w:t>
      </w:r>
      <w:r w:rsidRPr="00752CA8">
        <w:rPr>
          <w:rFonts w:cs="Arial"/>
          <w:szCs w:val="24"/>
        </w:rPr>
        <w:t xml:space="preserve"> </w:t>
      </w:r>
    </w:p>
    <w:p w14:paraId="43352AF5" w14:textId="77777777" w:rsidR="00045733" w:rsidRPr="00752CA8" w:rsidRDefault="00045733" w:rsidP="00045733">
      <w:pPr>
        <w:rPr>
          <w:rFonts w:cs="Arial"/>
          <w:szCs w:val="24"/>
        </w:rPr>
      </w:pPr>
    </w:p>
    <w:p w14:paraId="69BDD3BD" w14:textId="39C52183" w:rsidR="00045733" w:rsidRPr="00752CA8" w:rsidRDefault="00045733" w:rsidP="00045733">
      <w:pPr>
        <w:rPr>
          <w:rFonts w:cs="Arial"/>
          <w:szCs w:val="24"/>
        </w:rPr>
      </w:pPr>
      <w:r w:rsidRPr="00752CA8">
        <w:rPr>
          <w:rFonts w:cs="Arial"/>
          <w:szCs w:val="24"/>
        </w:rPr>
        <w:t>Only use a transfer belt when it has been recommended by a therapist. A transfer belt must not be used with another client without therapist assessment and recommendation.</w:t>
      </w:r>
    </w:p>
    <w:p w14:paraId="3270F897" w14:textId="77777777" w:rsidR="00045733" w:rsidRPr="00752CA8" w:rsidRDefault="00045733" w:rsidP="00045733">
      <w:pPr>
        <w:rPr>
          <w:rFonts w:cs="Arial"/>
          <w:szCs w:val="24"/>
        </w:rPr>
      </w:pPr>
    </w:p>
    <w:p w14:paraId="32FD8728" w14:textId="77777777" w:rsidR="00045733" w:rsidRPr="00752CA8" w:rsidRDefault="00045733" w:rsidP="00045733">
      <w:pPr>
        <w:rPr>
          <w:rFonts w:cs="Arial"/>
          <w:szCs w:val="24"/>
        </w:rPr>
      </w:pPr>
    </w:p>
    <w:p w14:paraId="2AAC7179" w14:textId="77777777" w:rsidR="00045733" w:rsidRPr="00752CA8" w:rsidRDefault="00045733" w:rsidP="00736488">
      <w:pPr>
        <w:rPr>
          <w:rFonts w:cs="Arial"/>
          <w:b/>
          <w:szCs w:val="24"/>
        </w:rPr>
      </w:pPr>
      <w:r w:rsidRPr="00752CA8">
        <w:rPr>
          <w:rFonts w:cs="Arial"/>
          <w:b/>
          <w:szCs w:val="24"/>
        </w:rPr>
        <w:t>BEFORE USING A TRANSFER BELT</w:t>
      </w:r>
    </w:p>
    <w:p w14:paraId="3489E9DA" w14:textId="77777777" w:rsidR="00045733" w:rsidRPr="00752CA8" w:rsidRDefault="00045733" w:rsidP="00045733">
      <w:pPr>
        <w:rPr>
          <w:rFonts w:cs="Arial"/>
          <w:b/>
          <w:szCs w:val="24"/>
        </w:rPr>
      </w:pPr>
    </w:p>
    <w:p w14:paraId="29DD2132" w14:textId="6EDB5D73" w:rsidR="00045733" w:rsidRPr="00752CA8" w:rsidRDefault="00045733" w:rsidP="00045733">
      <w:pPr>
        <w:numPr>
          <w:ilvl w:val="0"/>
          <w:numId w:val="4"/>
        </w:numPr>
        <w:spacing w:after="0" w:line="276" w:lineRule="auto"/>
        <w:rPr>
          <w:rFonts w:cs="Arial"/>
          <w:szCs w:val="24"/>
        </w:rPr>
      </w:pPr>
      <w:r w:rsidRPr="00752CA8">
        <w:rPr>
          <w:rFonts w:cs="Arial"/>
          <w:szCs w:val="24"/>
        </w:rPr>
        <w:t>Do not use a transfer belt if the client has open wounds or rashes in the area.</w:t>
      </w:r>
    </w:p>
    <w:p w14:paraId="31C563D8" w14:textId="0A6CCEBC" w:rsidR="00045733" w:rsidRPr="00752CA8" w:rsidRDefault="00045733" w:rsidP="00045733">
      <w:pPr>
        <w:numPr>
          <w:ilvl w:val="0"/>
          <w:numId w:val="4"/>
        </w:numPr>
        <w:spacing w:after="0" w:line="276" w:lineRule="auto"/>
        <w:rPr>
          <w:rFonts w:cs="Arial"/>
          <w:strike/>
          <w:szCs w:val="24"/>
        </w:rPr>
      </w:pPr>
      <w:r w:rsidRPr="00752CA8">
        <w:rPr>
          <w:rFonts w:cs="Arial"/>
          <w:szCs w:val="24"/>
        </w:rPr>
        <w:t xml:space="preserve">Make sure the belt fits the client’s waist properly. Changes in </w:t>
      </w:r>
      <w:r w:rsidRPr="00752CA8">
        <w:rPr>
          <w:rFonts w:cs="Arial"/>
          <w:color w:val="000000" w:themeColor="text1"/>
          <w:szCs w:val="24"/>
        </w:rPr>
        <w:t xml:space="preserve">clothing </w:t>
      </w:r>
      <w:r w:rsidRPr="00752CA8">
        <w:rPr>
          <w:rFonts w:cs="Arial"/>
          <w:szCs w:val="24"/>
        </w:rPr>
        <w:t>can affect the way the belt fits.</w:t>
      </w:r>
    </w:p>
    <w:p w14:paraId="7C941DD9" w14:textId="77777777" w:rsidR="00045733" w:rsidRPr="00752CA8" w:rsidRDefault="00045733" w:rsidP="00045733">
      <w:pPr>
        <w:numPr>
          <w:ilvl w:val="0"/>
          <w:numId w:val="4"/>
        </w:numPr>
        <w:spacing w:after="0" w:line="276" w:lineRule="auto"/>
        <w:rPr>
          <w:rFonts w:cs="Arial"/>
          <w:szCs w:val="24"/>
        </w:rPr>
      </w:pPr>
      <w:r w:rsidRPr="00752CA8">
        <w:rPr>
          <w:rFonts w:cs="Arial"/>
          <w:szCs w:val="24"/>
        </w:rPr>
        <w:t>Keep the belt clean by washing it with cold soapy water. Dry before use.</w:t>
      </w:r>
    </w:p>
    <w:p w14:paraId="05F5A475" w14:textId="77777777" w:rsidR="00045733" w:rsidRPr="00752CA8" w:rsidRDefault="00045733" w:rsidP="00045733">
      <w:pPr>
        <w:spacing w:line="276" w:lineRule="auto"/>
        <w:rPr>
          <w:rFonts w:cs="Arial"/>
          <w:b/>
          <w:bCs/>
          <w:szCs w:val="24"/>
        </w:rPr>
      </w:pPr>
    </w:p>
    <w:p w14:paraId="3BB2C0C5" w14:textId="77777777" w:rsidR="00045733" w:rsidRPr="00752CA8" w:rsidRDefault="00045733" w:rsidP="00045733">
      <w:pPr>
        <w:rPr>
          <w:rFonts w:cs="Arial"/>
          <w:b/>
          <w:szCs w:val="24"/>
        </w:rPr>
      </w:pPr>
      <w:r w:rsidRPr="00752CA8">
        <w:rPr>
          <w:rFonts w:cs="Arial"/>
          <w:b/>
          <w:szCs w:val="24"/>
        </w:rPr>
        <w:t>HOW TO USE A TRANSFER BELT</w:t>
      </w:r>
    </w:p>
    <w:p w14:paraId="539A1C1C" w14:textId="77777777" w:rsidR="00045733" w:rsidRPr="00752CA8" w:rsidRDefault="00045733" w:rsidP="00045733">
      <w:pPr>
        <w:rPr>
          <w:rFonts w:cs="Arial"/>
          <w:b/>
          <w:szCs w:val="24"/>
        </w:rPr>
      </w:pPr>
    </w:p>
    <w:p w14:paraId="5A353024" w14:textId="0501E1A2" w:rsidR="00045733" w:rsidRPr="00752CA8" w:rsidRDefault="00045733" w:rsidP="0004573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752CA8">
        <w:rPr>
          <w:rFonts w:ascii="Arial" w:hAnsi="Arial" w:cs="Arial"/>
          <w:sz w:val="24"/>
          <w:szCs w:val="24"/>
        </w:rPr>
        <w:t xml:space="preserve">Fasten the belt around the client’s waist. </w:t>
      </w:r>
      <w:r w:rsidRPr="00752CA8">
        <w:rPr>
          <w:rFonts w:ascii="Arial" w:hAnsi="Arial" w:cs="Arial"/>
          <w:bCs/>
          <w:sz w:val="24"/>
          <w:szCs w:val="24"/>
        </w:rPr>
        <w:t xml:space="preserve">The belt should be secured snugly around the client’s waist over top of their clothing. The handles on the belt face out so that the </w:t>
      </w:r>
      <w:r w:rsidR="00044A27">
        <w:rPr>
          <w:rFonts w:ascii="Arial" w:hAnsi="Arial" w:cs="Arial"/>
          <w:bCs/>
          <w:sz w:val="24"/>
          <w:szCs w:val="24"/>
        </w:rPr>
        <w:t>caregiver</w:t>
      </w:r>
      <w:r w:rsidRPr="00752CA8">
        <w:rPr>
          <w:rFonts w:ascii="Arial" w:hAnsi="Arial" w:cs="Arial"/>
          <w:bCs/>
          <w:sz w:val="24"/>
          <w:szCs w:val="24"/>
        </w:rPr>
        <w:t xml:space="preserve"> supporting the </w:t>
      </w:r>
      <w:r w:rsidR="00044A27">
        <w:rPr>
          <w:rFonts w:ascii="Arial" w:hAnsi="Arial" w:cs="Arial"/>
          <w:bCs/>
          <w:sz w:val="24"/>
          <w:szCs w:val="24"/>
        </w:rPr>
        <w:t>client</w:t>
      </w:r>
      <w:r w:rsidRPr="00752CA8">
        <w:rPr>
          <w:rFonts w:ascii="Arial" w:hAnsi="Arial" w:cs="Arial"/>
          <w:bCs/>
          <w:sz w:val="24"/>
          <w:szCs w:val="24"/>
        </w:rPr>
        <w:t xml:space="preserve"> can get a handhold. </w:t>
      </w:r>
    </w:p>
    <w:p w14:paraId="4584CA57" w14:textId="15E49B1D" w:rsidR="00045733" w:rsidRPr="00752CA8" w:rsidRDefault="00045733" w:rsidP="0004573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752CA8">
        <w:rPr>
          <w:rFonts w:ascii="Arial" w:hAnsi="Arial" w:cs="Arial"/>
          <w:sz w:val="24"/>
          <w:szCs w:val="24"/>
        </w:rPr>
        <w:t>Adjust the straps for a good fit. The best fit accommodates two fingerbreadths from the client’s waist.</w:t>
      </w:r>
    </w:p>
    <w:p w14:paraId="3F20C414" w14:textId="6FAAFFD8" w:rsidR="00C01D2C" w:rsidRPr="004875C2" w:rsidRDefault="00045733" w:rsidP="004875C2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752CA8">
        <w:rPr>
          <w:rFonts w:ascii="Arial" w:hAnsi="Arial" w:cs="Arial"/>
          <w:sz w:val="24"/>
          <w:szCs w:val="24"/>
        </w:rPr>
        <w:t xml:space="preserve">Use the belt as instructed by the Physiotherapist. A transfer belt may always be necessary or only when using specific </w:t>
      </w:r>
      <w:r w:rsidR="00752CA8" w:rsidRPr="00752CA8">
        <w:rPr>
          <w:rFonts w:ascii="Arial" w:hAnsi="Arial" w:cs="Arial"/>
          <w:sz w:val="24"/>
          <w:szCs w:val="24"/>
        </w:rPr>
        <w:t>equipment</w:t>
      </w:r>
      <w:r w:rsidR="00752CA8">
        <w:rPr>
          <w:rFonts w:ascii="Arial" w:hAnsi="Arial" w:cs="Arial"/>
          <w:sz w:val="24"/>
          <w:szCs w:val="24"/>
        </w:rPr>
        <w:t>.</w:t>
      </w:r>
    </w:p>
    <w:p w14:paraId="03CB4B43" w14:textId="0635F9B3" w:rsidR="00752CA8" w:rsidRPr="00752CA8" w:rsidRDefault="00752CA8" w:rsidP="00752CA8">
      <w:pPr>
        <w:rPr>
          <w:b/>
          <w:bCs/>
          <w:noProof/>
          <w:sz w:val="28"/>
          <w:szCs w:val="28"/>
        </w:rPr>
      </w:pPr>
      <w:r w:rsidRPr="00752CA8">
        <w:rPr>
          <w:b/>
          <w:bCs/>
          <w:noProof/>
          <w:sz w:val="28"/>
          <w:szCs w:val="28"/>
        </w:rPr>
        <w:lastRenderedPageBreak/>
        <w:t>USE OF A TRANSFER BELT FOR TRANSFERS</w:t>
      </w:r>
    </w:p>
    <w:p w14:paraId="69C92C11" w14:textId="33E65D65" w:rsidR="00752CA8" w:rsidRDefault="00752CA8" w:rsidP="00752CA8"/>
    <w:p w14:paraId="24B6FCE8" w14:textId="2799B0A1" w:rsidR="00752CA8" w:rsidRDefault="004875C2" w:rsidP="00752CA8">
      <w:r>
        <w:rPr>
          <w:noProof/>
        </w:rPr>
        <w:drawing>
          <wp:anchor distT="0" distB="0" distL="114300" distR="114300" simplePos="0" relativeHeight="251661312" behindDoc="1" locked="0" layoutInCell="1" allowOverlap="1" wp14:anchorId="464A8018" wp14:editId="3E39F4F1">
            <wp:simplePos x="0" y="0"/>
            <wp:positionH relativeFrom="column">
              <wp:posOffset>-33020</wp:posOffset>
            </wp:positionH>
            <wp:positionV relativeFrom="page">
              <wp:posOffset>2279650</wp:posOffset>
            </wp:positionV>
            <wp:extent cx="5015230" cy="2016760"/>
            <wp:effectExtent l="0" t="0" r="0" b="2540"/>
            <wp:wrapTight wrapText="bothSides">
              <wp:wrapPolygon edited="0">
                <wp:start x="0" y="0"/>
                <wp:lineTo x="0" y="21423"/>
                <wp:lineTo x="21496" y="21423"/>
                <wp:lineTo x="21496" y="0"/>
                <wp:lineTo x="0" y="0"/>
              </wp:wrapPolygon>
            </wp:wrapTight>
            <wp:docPr id="18343450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45060" name="Picture 18343450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FB4BC" w14:textId="4DC91738" w:rsidR="00752CA8" w:rsidRDefault="00752CA8" w:rsidP="00752CA8"/>
    <w:p w14:paraId="20518981" w14:textId="3892A786" w:rsidR="005624A6" w:rsidRDefault="005624A6" w:rsidP="00752CA8"/>
    <w:p w14:paraId="15C77DB1" w14:textId="77777777" w:rsidR="00752CA8" w:rsidRDefault="00752CA8" w:rsidP="00752CA8"/>
    <w:p w14:paraId="6BF7145C" w14:textId="77777777" w:rsidR="00752CA8" w:rsidRDefault="00752CA8" w:rsidP="00752CA8"/>
    <w:p w14:paraId="06C95846" w14:textId="77777777" w:rsidR="00752CA8" w:rsidRDefault="00752CA8" w:rsidP="00752CA8"/>
    <w:p w14:paraId="076AF6B5" w14:textId="77777777" w:rsidR="00752CA8" w:rsidRDefault="00752CA8" w:rsidP="00752CA8"/>
    <w:p w14:paraId="354D838E" w14:textId="77777777" w:rsidR="00752CA8" w:rsidRDefault="00752CA8" w:rsidP="00752CA8"/>
    <w:p w14:paraId="58E7B4AA" w14:textId="77777777" w:rsidR="00752CA8" w:rsidRDefault="00752CA8" w:rsidP="00752CA8"/>
    <w:p w14:paraId="533AAE5B" w14:textId="77777777" w:rsidR="00752CA8" w:rsidRPr="00752CA8" w:rsidRDefault="00752CA8" w:rsidP="00752CA8">
      <w:pPr>
        <w:rPr>
          <w:b/>
          <w:bCs/>
        </w:rPr>
      </w:pPr>
    </w:p>
    <w:p w14:paraId="5E8909CA" w14:textId="77777777" w:rsidR="004875C2" w:rsidRDefault="004875C2" w:rsidP="00752CA8">
      <w:pPr>
        <w:rPr>
          <w:b/>
          <w:bCs/>
          <w:sz w:val="28"/>
          <w:szCs w:val="28"/>
        </w:rPr>
      </w:pPr>
    </w:p>
    <w:p w14:paraId="605A2C3E" w14:textId="0E25E32E" w:rsidR="00752CA8" w:rsidRPr="00752CA8" w:rsidRDefault="00752CA8" w:rsidP="00752CA8">
      <w:pPr>
        <w:rPr>
          <w:b/>
          <w:bCs/>
          <w:sz w:val="28"/>
          <w:szCs w:val="28"/>
        </w:rPr>
      </w:pPr>
      <w:r w:rsidRPr="00752CA8">
        <w:rPr>
          <w:b/>
          <w:bCs/>
          <w:sz w:val="28"/>
          <w:szCs w:val="28"/>
        </w:rPr>
        <w:t>USE OF A TRANSFER BELT FOR ASSISTED WALKING</w:t>
      </w:r>
    </w:p>
    <w:p w14:paraId="39EC2A0C" w14:textId="6793D2AA" w:rsidR="00752CA8" w:rsidRDefault="00752CA8" w:rsidP="00752CA8"/>
    <w:p w14:paraId="0F54B053" w14:textId="1BCBE5CA" w:rsidR="00752CA8" w:rsidRDefault="00A069EF" w:rsidP="00752CA8">
      <w:r>
        <w:rPr>
          <w:noProof/>
        </w:rPr>
        <w:drawing>
          <wp:anchor distT="0" distB="0" distL="114300" distR="114300" simplePos="0" relativeHeight="251662336" behindDoc="1" locked="0" layoutInCell="1" allowOverlap="1" wp14:anchorId="2BFD79DA" wp14:editId="758EFE30">
            <wp:simplePos x="0" y="0"/>
            <wp:positionH relativeFrom="column">
              <wp:posOffset>156845</wp:posOffset>
            </wp:positionH>
            <wp:positionV relativeFrom="page">
              <wp:posOffset>4904105</wp:posOffset>
            </wp:positionV>
            <wp:extent cx="5197475" cy="2101215"/>
            <wp:effectExtent l="0" t="0" r="3175" b="0"/>
            <wp:wrapTight wrapText="bothSides">
              <wp:wrapPolygon edited="0">
                <wp:start x="0" y="0"/>
                <wp:lineTo x="0" y="21345"/>
                <wp:lineTo x="21534" y="21345"/>
                <wp:lineTo x="21534" y="0"/>
                <wp:lineTo x="0" y="0"/>
              </wp:wrapPolygon>
            </wp:wrapTight>
            <wp:docPr id="20205787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78708" name="Picture 202057870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210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7C785" w14:textId="39C02804" w:rsidR="00752CA8" w:rsidRDefault="00752CA8" w:rsidP="00752CA8"/>
    <w:p w14:paraId="14109F3E" w14:textId="77777777" w:rsidR="00752CA8" w:rsidRDefault="00752CA8" w:rsidP="00752CA8"/>
    <w:p w14:paraId="5C285A70" w14:textId="77777777" w:rsidR="00752CA8" w:rsidRDefault="00752CA8" w:rsidP="00752CA8"/>
    <w:p w14:paraId="2B757E26" w14:textId="77777777" w:rsidR="00752CA8" w:rsidRDefault="00752CA8" w:rsidP="00752CA8"/>
    <w:p w14:paraId="10B5D986" w14:textId="77777777" w:rsidR="00752CA8" w:rsidRDefault="00752CA8" w:rsidP="00752CA8"/>
    <w:p w14:paraId="19298A68" w14:textId="77777777" w:rsidR="00752CA8" w:rsidRDefault="00752CA8" w:rsidP="00752CA8"/>
    <w:p w14:paraId="0B47E26B" w14:textId="77777777" w:rsidR="00752CA8" w:rsidRDefault="00752CA8" w:rsidP="00752CA8"/>
    <w:p w14:paraId="42D4107B" w14:textId="77777777" w:rsidR="00752CA8" w:rsidRDefault="00752CA8" w:rsidP="00752CA8"/>
    <w:p w14:paraId="10B592EB" w14:textId="77777777" w:rsidR="00752CA8" w:rsidRDefault="00752CA8" w:rsidP="00752CA8"/>
    <w:p w14:paraId="320F95FB" w14:textId="2D106C28" w:rsidR="00752CA8" w:rsidRDefault="00A069EF" w:rsidP="00752CA8">
      <w:r>
        <w:rPr>
          <w:noProof/>
        </w:rPr>
        <w:drawing>
          <wp:anchor distT="0" distB="0" distL="114300" distR="114300" simplePos="0" relativeHeight="251663360" behindDoc="1" locked="0" layoutInCell="1" allowOverlap="1" wp14:anchorId="2CDDF4C6" wp14:editId="288CEC92">
            <wp:simplePos x="0" y="0"/>
            <wp:positionH relativeFrom="margin">
              <wp:posOffset>109220</wp:posOffset>
            </wp:positionH>
            <wp:positionV relativeFrom="page">
              <wp:posOffset>6946900</wp:posOffset>
            </wp:positionV>
            <wp:extent cx="537210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523" y="21421"/>
                <wp:lineTo x="21523" y="0"/>
                <wp:lineTo x="0" y="0"/>
              </wp:wrapPolygon>
            </wp:wrapTight>
            <wp:docPr id="13660605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60572" name="Picture 1366060572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8" r="4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76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2DA31" w14:textId="032B3EAF" w:rsidR="00752CA8" w:rsidRPr="00856713" w:rsidRDefault="00752CA8" w:rsidP="00752CA8"/>
    <w:sectPr w:rsidR="00752CA8" w:rsidRPr="00856713" w:rsidSect="001C78A5">
      <w:headerReference w:type="default" r:id="rId14"/>
      <w:pgSz w:w="12240" w:h="15840"/>
      <w:pgMar w:top="2836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C5AB" w14:textId="77777777" w:rsidR="00576CED" w:rsidRDefault="00576CED" w:rsidP="00617301">
      <w:pPr>
        <w:spacing w:after="0"/>
      </w:pPr>
      <w:r>
        <w:separator/>
      </w:r>
    </w:p>
  </w:endnote>
  <w:endnote w:type="continuationSeparator" w:id="0">
    <w:p w14:paraId="131CEE6A" w14:textId="77777777" w:rsidR="00576CED" w:rsidRDefault="00576CED" w:rsidP="00617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42D1" w14:textId="77777777" w:rsidR="00576CED" w:rsidRDefault="00576CED" w:rsidP="00617301">
      <w:pPr>
        <w:spacing w:after="0"/>
      </w:pPr>
      <w:r>
        <w:separator/>
      </w:r>
    </w:p>
  </w:footnote>
  <w:footnote w:type="continuationSeparator" w:id="0">
    <w:p w14:paraId="1D7CAB13" w14:textId="77777777" w:rsidR="00576CED" w:rsidRDefault="00576CED" w:rsidP="00617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5" w:type="dxa"/>
      <w:tblLayout w:type="fixed"/>
      <w:tblLook w:val="04A0" w:firstRow="1" w:lastRow="0" w:firstColumn="1" w:lastColumn="0" w:noHBand="0" w:noVBand="1"/>
    </w:tblPr>
    <w:tblGrid>
      <w:gridCol w:w="284"/>
      <w:gridCol w:w="4683"/>
      <w:gridCol w:w="5411"/>
    </w:tblGrid>
    <w:tr w:rsidR="00B2491B" w:rsidRPr="001C78A5" w14:paraId="757E110D" w14:textId="77777777" w:rsidTr="000C59B7">
      <w:trPr>
        <w:trHeight w:val="57"/>
      </w:trPr>
      <w:tc>
        <w:tcPr>
          <w:tcW w:w="2393" w:type="pct"/>
          <w:gridSpan w:val="2"/>
          <w:noWrap/>
          <w:vAlign w:val="center"/>
          <w:hideMark/>
        </w:tcPr>
        <w:p w14:paraId="2DED47F1" w14:textId="37F69189" w:rsidR="00B2491B" w:rsidRPr="00275C6A" w:rsidRDefault="00B2491B" w:rsidP="00B2491B">
          <w:pPr>
            <w:spacing w:after="0"/>
            <w:jc w:val="right"/>
            <w:rPr>
              <w:rFonts w:eastAsia="Times New Roman" w:cs="Arial"/>
              <w:b/>
              <w:bCs/>
              <w:color w:val="009900"/>
              <w:sz w:val="19"/>
              <w:szCs w:val="19"/>
              <w:lang w:eastAsia="en-CA"/>
            </w:rPr>
          </w:pPr>
          <w:r w:rsidRPr="00275C6A">
            <w:rPr>
              <w:rFonts w:eastAsia="Times New Roman" w:cs="Arial"/>
              <w:b/>
              <w:bCs/>
              <w:color w:val="009900"/>
              <w:sz w:val="19"/>
              <w:szCs w:val="19"/>
              <w:lang w:eastAsia="en-CA"/>
            </w:rPr>
            <w:t>Over fifty years of service to Manitobans</w:t>
          </w:r>
          <w:r w:rsidRPr="00275C6A">
            <w:rPr>
              <w:rFonts w:eastAsia="Times New Roman" w:cs="Arial"/>
              <w:color w:val="009900"/>
              <w:sz w:val="19"/>
              <w:szCs w:val="19"/>
              <w:lang w:eastAsia="en-CA"/>
            </w:rPr>
            <w:t> </w:t>
          </w:r>
        </w:p>
      </w:tc>
      <w:tc>
        <w:tcPr>
          <w:tcW w:w="2607" w:type="pct"/>
          <w:vAlign w:val="center"/>
        </w:tcPr>
        <w:p w14:paraId="02EDBD26" w14:textId="48F97985" w:rsidR="00B2491B" w:rsidRPr="00B2491B" w:rsidRDefault="00B2491B" w:rsidP="00B2491B">
          <w:pPr>
            <w:spacing w:after="0"/>
            <w:rPr>
              <w:rFonts w:eastAsia="Times New Roman" w:cs="Arial"/>
              <w:b/>
              <w:bCs/>
              <w:color w:val="009900"/>
              <w:sz w:val="19"/>
              <w:szCs w:val="19"/>
              <w:lang w:val="fr-FR" w:eastAsia="en-CA"/>
            </w:rPr>
          </w:pPr>
          <w:r w:rsidRPr="00B2491B">
            <w:rPr>
              <w:rFonts w:eastAsia="Times New Roman" w:cs="Arial"/>
              <w:b/>
              <w:bCs/>
              <w:color w:val="009900"/>
              <w:sz w:val="19"/>
              <w:szCs w:val="19"/>
              <w:lang w:val="en-CA" w:eastAsia="en-CA"/>
            </w:rPr>
            <w:t> </w:t>
          </w:r>
          <w:r w:rsidRPr="00275C6A">
            <w:rPr>
              <w:rFonts w:eastAsia="Times New Roman" w:cs="Arial"/>
              <w:color w:val="009900"/>
              <w:sz w:val="19"/>
              <w:szCs w:val="19"/>
              <w:lang w:val="fr-FR" w:eastAsia="en-CA"/>
            </w:rPr>
            <w:t>Aider les gens à mener une vie active et autonome</w:t>
          </w:r>
        </w:p>
      </w:tc>
    </w:tr>
    <w:tr w:rsidR="00B2491B" w:rsidRPr="001C78A5" w14:paraId="1FEFCE9F" w14:textId="77777777" w:rsidTr="000C59B7">
      <w:trPr>
        <w:trHeight w:val="113"/>
      </w:trPr>
      <w:tc>
        <w:tcPr>
          <w:tcW w:w="2393" w:type="pct"/>
          <w:gridSpan w:val="2"/>
          <w:noWrap/>
          <w:vAlign w:val="center"/>
          <w:hideMark/>
        </w:tcPr>
        <w:p w14:paraId="3F9DD2CF" w14:textId="4DAAA479" w:rsidR="00B2491B" w:rsidRPr="00275C6A" w:rsidRDefault="00B2491B" w:rsidP="00B2491B">
          <w:pPr>
            <w:spacing w:after="0"/>
            <w:jc w:val="right"/>
            <w:rPr>
              <w:rFonts w:eastAsia="Times New Roman" w:cs="Arial"/>
              <w:color w:val="009900"/>
              <w:sz w:val="19"/>
              <w:szCs w:val="19"/>
              <w:lang w:eastAsia="en-CA"/>
            </w:rPr>
          </w:pPr>
          <w:r w:rsidRPr="00275C6A">
            <w:rPr>
              <w:rFonts w:eastAsia="Times New Roman" w:cs="Arial"/>
              <w:color w:val="009900"/>
              <w:sz w:val="19"/>
              <w:szCs w:val="19"/>
              <w:lang w:eastAsia="en-CA"/>
            </w:rPr>
            <w:t>Helping people to live active and independent lives</w:t>
          </w:r>
        </w:p>
      </w:tc>
      <w:tc>
        <w:tcPr>
          <w:tcW w:w="2607" w:type="pct"/>
          <w:vAlign w:val="center"/>
        </w:tcPr>
        <w:p w14:paraId="24AD1AF4" w14:textId="68DE687F" w:rsidR="00B2491B" w:rsidRPr="00275C6A" w:rsidRDefault="00B2491B" w:rsidP="00A830DA">
          <w:pPr>
            <w:spacing w:after="0"/>
            <w:jc w:val="both"/>
            <w:rPr>
              <w:rFonts w:eastAsia="Times New Roman" w:cs="Arial"/>
              <w:b/>
              <w:bCs/>
              <w:color w:val="009900"/>
              <w:sz w:val="19"/>
              <w:szCs w:val="19"/>
              <w:lang w:val="fr-FR" w:eastAsia="en-CA"/>
            </w:rPr>
          </w:pPr>
          <w:r w:rsidRPr="00275C6A">
            <w:rPr>
              <w:rFonts w:eastAsia="Times New Roman" w:cs="Arial"/>
              <w:b/>
              <w:bCs/>
              <w:color w:val="009900"/>
              <w:sz w:val="19"/>
              <w:szCs w:val="19"/>
              <w:lang w:val="fr-FR" w:eastAsia="en-CA"/>
            </w:rPr>
            <w:t>Plus de cinquante années au service des Manitobains</w:t>
          </w:r>
        </w:p>
      </w:tc>
    </w:tr>
    <w:tr w:rsidR="00B2491B" w:rsidRPr="00617301" w14:paraId="3706ADF7" w14:textId="77777777" w:rsidTr="000C59B7">
      <w:trPr>
        <w:trHeight w:val="397"/>
      </w:trPr>
      <w:tc>
        <w:tcPr>
          <w:tcW w:w="137" w:type="pct"/>
          <w:noWrap/>
          <w:vAlign w:val="center"/>
          <w:hideMark/>
        </w:tcPr>
        <w:p w14:paraId="5D25C596" w14:textId="666DC1F4" w:rsidR="00B2491B" w:rsidRPr="0094082F" w:rsidRDefault="00B2491B" w:rsidP="00B2491B">
          <w:pPr>
            <w:spacing w:before="40" w:after="0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fr-FR" w:eastAsia="en-CA"/>
            </w:rPr>
          </w:pPr>
        </w:p>
      </w:tc>
      <w:tc>
        <w:tcPr>
          <w:tcW w:w="2256" w:type="pct"/>
          <w:vAlign w:val="bottom"/>
        </w:tcPr>
        <w:p w14:paraId="4FAEE7B0" w14:textId="17076530" w:rsidR="00B2491B" w:rsidRPr="00617301" w:rsidRDefault="00B2491B" w:rsidP="000C59B7">
          <w:pPr>
            <w:spacing w:before="40" w:after="0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101 – 1</w:t>
          </w:r>
          <w:r w:rsidR="00FF437C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601 Buffalo Place</w:t>
          </w:r>
        </w:p>
      </w:tc>
      <w:tc>
        <w:tcPr>
          <w:tcW w:w="2607" w:type="pct"/>
          <w:noWrap/>
          <w:vAlign w:val="bottom"/>
          <w:hideMark/>
        </w:tcPr>
        <w:p w14:paraId="0D19EF86" w14:textId="65B94B40" w:rsidR="00B2491B" w:rsidRPr="009F0ABB" w:rsidRDefault="000C59B7" w:rsidP="000C59B7">
          <w:pPr>
            <w:tabs>
              <w:tab w:val="left" w:pos="4756"/>
            </w:tabs>
            <w:spacing w:after="0"/>
            <w:ind w:right="221"/>
            <w:jc w:val="right"/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</w:pPr>
          <w:r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1</w:t>
          </w:r>
          <w:r w:rsidR="00B2491B"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01 – 1</w:t>
          </w:r>
          <w:r w:rsidR="00FF437C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601</w:t>
          </w:r>
          <w:r w:rsidR="00B2491B"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 xml:space="preserve"> </w:t>
          </w:r>
          <w:r w:rsidR="00FF437C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Place Buffalo</w:t>
          </w:r>
        </w:p>
      </w:tc>
    </w:tr>
    <w:tr w:rsidR="00B2491B" w:rsidRPr="00617301" w14:paraId="41DE928D" w14:textId="77777777" w:rsidTr="000C59B7">
      <w:trPr>
        <w:trHeight w:val="227"/>
      </w:trPr>
      <w:tc>
        <w:tcPr>
          <w:tcW w:w="137" w:type="pct"/>
          <w:noWrap/>
          <w:vAlign w:val="center"/>
          <w:hideMark/>
        </w:tcPr>
        <w:p w14:paraId="10502647" w14:textId="3F9F2241" w:rsidR="00B2491B" w:rsidRPr="00617301" w:rsidRDefault="00B2491B" w:rsidP="00B2491B">
          <w:pPr>
            <w:spacing w:after="0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</w:p>
      </w:tc>
      <w:tc>
        <w:tcPr>
          <w:tcW w:w="2256" w:type="pct"/>
          <w:vAlign w:val="bottom"/>
        </w:tcPr>
        <w:p w14:paraId="0F7B1840" w14:textId="72B7C999" w:rsidR="00B2491B" w:rsidRPr="00617301" w:rsidRDefault="00B2491B" w:rsidP="000C59B7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Winnipeg, MB R3</w:t>
          </w:r>
          <w:r w:rsidR="00FF437C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T 3K7</w:t>
          </w:r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 xml:space="preserve"> </w:t>
          </w:r>
        </w:p>
      </w:tc>
      <w:tc>
        <w:tcPr>
          <w:tcW w:w="2607" w:type="pct"/>
          <w:noWrap/>
          <w:vAlign w:val="bottom"/>
          <w:hideMark/>
        </w:tcPr>
        <w:p w14:paraId="6DD93BF8" w14:textId="14002C89" w:rsidR="00B2491B" w:rsidRPr="009F0ABB" w:rsidRDefault="000C59B7" w:rsidP="000C59B7">
          <w:pPr>
            <w:tabs>
              <w:tab w:val="left" w:pos="4756"/>
            </w:tabs>
            <w:spacing w:after="0"/>
            <w:ind w:right="221"/>
            <w:jc w:val="right"/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</w:pPr>
          <w:r w:rsidRPr="000C59B7">
            <w:rPr>
              <w:rFonts w:ascii="Arial Nova" w:eastAsia="Times New Roman" w:hAnsi="Arial Nova" w:cs="Arial"/>
              <w:noProof/>
              <w:color w:val="009900"/>
              <w:sz w:val="20"/>
              <w:szCs w:val="20"/>
              <w:lang w:eastAsia="en-CA"/>
            </w:rPr>
            <w:drawing>
              <wp:anchor distT="0" distB="0" distL="114300" distR="114300" simplePos="0" relativeHeight="251659264" behindDoc="1" locked="0" layoutInCell="1" allowOverlap="1" wp14:anchorId="72045F0F" wp14:editId="73792DF7">
                <wp:simplePos x="0" y="0"/>
                <wp:positionH relativeFrom="column">
                  <wp:posOffset>-990600</wp:posOffset>
                </wp:positionH>
                <wp:positionV relativeFrom="paragraph">
                  <wp:posOffset>-163830</wp:posOffset>
                </wp:positionV>
                <wp:extent cx="1863725" cy="1112520"/>
                <wp:effectExtent l="0" t="0" r="3175" b="0"/>
                <wp:wrapNone/>
                <wp:docPr id="1834421883" name="Picture 1834421883" descr="color c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r c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2491B"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Winnipeg, MB R3</w:t>
          </w:r>
          <w:r w:rsidR="00FF437C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T 3K7</w:t>
          </w:r>
        </w:p>
      </w:tc>
    </w:tr>
    <w:tr w:rsidR="00B2491B" w:rsidRPr="00617301" w14:paraId="615BE206" w14:textId="77777777" w:rsidTr="000C59B7">
      <w:trPr>
        <w:trHeight w:val="227"/>
      </w:trPr>
      <w:tc>
        <w:tcPr>
          <w:tcW w:w="137" w:type="pct"/>
          <w:noWrap/>
          <w:vAlign w:val="center"/>
          <w:hideMark/>
        </w:tcPr>
        <w:p w14:paraId="365FD1BA" w14:textId="13C31030" w:rsidR="00B2491B" w:rsidRPr="00617301" w:rsidRDefault="00B2491B" w:rsidP="00B2491B">
          <w:pPr>
            <w:spacing w:after="0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</w:p>
      </w:tc>
      <w:tc>
        <w:tcPr>
          <w:tcW w:w="2256" w:type="pct"/>
          <w:vAlign w:val="bottom"/>
        </w:tcPr>
        <w:p w14:paraId="2A8FDF63" w14:textId="12406003" w:rsidR="00B2491B" w:rsidRPr="00617301" w:rsidRDefault="00B2491B" w:rsidP="000C59B7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  <w:hyperlink r:id="rId2" w:history="1">
            <w:r w:rsidRPr="009F0ABB">
              <w:rPr>
                <w:rFonts w:ascii="Arial Nova" w:eastAsia="Times New Roman" w:hAnsi="Arial Nova" w:cs="Arial"/>
                <w:color w:val="009900"/>
                <w:sz w:val="20"/>
                <w:szCs w:val="20"/>
                <w:lang w:eastAsia="en-CA"/>
              </w:rPr>
              <w:t>www.ctsinc.mb.ca</w:t>
            </w:r>
          </w:hyperlink>
        </w:p>
      </w:tc>
      <w:tc>
        <w:tcPr>
          <w:tcW w:w="2607" w:type="pct"/>
          <w:noWrap/>
          <w:vAlign w:val="bottom"/>
          <w:hideMark/>
        </w:tcPr>
        <w:p w14:paraId="14FDA2D1" w14:textId="4BA4BE5E" w:rsidR="00B2491B" w:rsidRPr="009F0ABB" w:rsidRDefault="00B2491B" w:rsidP="000C59B7">
          <w:pPr>
            <w:tabs>
              <w:tab w:val="left" w:pos="4756"/>
            </w:tabs>
            <w:spacing w:after="0"/>
            <w:ind w:right="220"/>
            <w:jc w:val="right"/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</w:pPr>
          <w:hyperlink r:id="rId3" w:history="1">
            <w:r w:rsidRPr="009F0ABB">
              <w:rPr>
                <w:rFonts w:ascii="Arial Nova" w:eastAsia="Times New Roman" w:hAnsi="Arial Nova" w:cs="Arial"/>
                <w:color w:val="009900"/>
                <w:sz w:val="20"/>
                <w:szCs w:val="20"/>
                <w:lang w:eastAsia="en-CA"/>
              </w:rPr>
              <w:t>www.ctsinc.mb.ca</w:t>
            </w:r>
          </w:hyperlink>
        </w:p>
      </w:tc>
    </w:tr>
    <w:tr w:rsidR="00B2491B" w:rsidRPr="00617301" w14:paraId="5C76913C" w14:textId="77777777" w:rsidTr="000C59B7">
      <w:trPr>
        <w:trHeight w:val="227"/>
      </w:trPr>
      <w:tc>
        <w:tcPr>
          <w:tcW w:w="137" w:type="pct"/>
          <w:noWrap/>
          <w:vAlign w:val="center"/>
          <w:hideMark/>
        </w:tcPr>
        <w:p w14:paraId="6CD507B5" w14:textId="0F9837AA" w:rsidR="00B2491B" w:rsidRPr="00617301" w:rsidRDefault="00B2491B" w:rsidP="00B2491B">
          <w:pPr>
            <w:spacing w:after="0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</w:p>
      </w:tc>
      <w:tc>
        <w:tcPr>
          <w:tcW w:w="2256" w:type="pct"/>
          <w:vAlign w:val="bottom"/>
        </w:tcPr>
        <w:p w14:paraId="2234A3EF" w14:textId="098E8999" w:rsidR="00B2491B" w:rsidRPr="00617301" w:rsidRDefault="00B2491B" w:rsidP="000C59B7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 xml:space="preserve">Fax: 204-942-1428 </w:t>
          </w:r>
        </w:p>
      </w:tc>
      <w:tc>
        <w:tcPr>
          <w:tcW w:w="2607" w:type="pct"/>
          <w:noWrap/>
          <w:vAlign w:val="bottom"/>
          <w:hideMark/>
        </w:tcPr>
        <w:p w14:paraId="439594B4" w14:textId="1BD44885" w:rsidR="00B2491B" w:rsidRPr="009F0ABB" w:rsidRDefault="00B2491B" w:rsidP="000C59B7">
          <w:pPr>
            <w:tabs>
              <w:tab w:val="left" w:pos="4756"/>
            </w:tabs>
            <w:spacing w:after="0"/>
            <w:ind w:right="220"/>
            <w:jc w:val="right"/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</w:pPr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Facsimile: 204-942-1428</w:t>
          </w:r>
        </w:p>
      </w:tc>
    </w:tr>
    <w:tr w:rsidR="00B2491B" w:rsidRPr="00617301" w14:paraId="335A791D" w14:textId="77777777" w:rsidTr="000C59B7">
      <w:trPr>
        <w:trHeight w:val="227"/>
      </w:trPr>
      <w:tc>
        <w:tcPr>
          <w:tcW w:w="137" w:type="pct"/>
          <w:noWrap/>
          <w:vAlign w:val="center"/>
          <w:hideMark/>
        </w:tcPr>
        <w:p w14:paraId="2C6C3788" w14:textId="03CDE750" w:rsidR="00B2491B" w:rsidRPr="00617301" w:rsidRDefault="00B2491B" w:rsidP="00B2491B">
          <w:pPr>
            <w:spacing w:after="0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</w:p>
      </w:tc>
      <w:tc>
        <w:tcPr>
          <w:tcW w:w="2256" w:type="pct"/>
          <w:vAlign w:val="bottom"/>
        </w:tcPr>
        <w:p w14:paraId="0807934B" w14:textId="1BAE414C" w:rsidR="00B2491B" w:rsidRPr="00617301" w:rsidRDefault="00B2491B" w:rsidP="000C59B7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eastAsia="en-CA"/>
            </w:rPr>
          </w:pPr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Phone: 204-949-0533</w:t>
          </w:r>
        </w:p>
      </w:tc>
      <w:tc>
        <w:tcPr>
          <w:tcW w:w="2607" w:type="pct"/>
          <w:noWrap/>
          <w:vAlign w:val="bottom"/>
          <w:hideMark/>
        </w:tcPr>
        <w:p w14:paraId="4E9B3559" w14:textId="5F5D097D" w:rsidR="00B2491B" w:rsidRPr="009F0ABB" w:rsidRDefault="00B2491B" w:rsidP="000C59B7">
          <w:pPr>
            <w:tabs>
              <w:tab w:val="left" w:pos="4756"/>
            </w:tabs>
            <w:spacing w:after="0"/>
            <w:ind w:right="220"/>
            <w:jc w:val="right"/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</w:pPr>
          <w:proofErr w:type="spellStart"/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Téléphone</w:t>
          </w:r>
          <w:proofErr w:type="spellEnd"/>
          <w:r w:rsidRPr="009F0ABB">
            <w:rPr>
              <w:rFonts w:ascii="Arial Nova" w:eastAsia="Times New Roman" w:hAnsi="Arial Nova" w:cs="Arial"/>
              <w:color w:val="009900"/>
              <w:sz w:val="20"/>
              <w:szCs w:val="20"/>
              <w:lang w:eastAsia="en-CA"/>
            </w:rPr>
            <w:t>: 204-949-0533</w:t>
          </w:r>
        </w:p>
      </w:tc>
    </w:tr>
  </w:tbl>
  <w:p w14:paraId="30E528F3" w14:textId="2E623829" w:rsidR="00617301" w:rsidRDefault="00617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31F"/>
    <w:multiLevelType w:val="hybridMultilevel"/>
    <w:tmpl w:val="E42E6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26C"/>
    <w:multiLevelType w:val="hybridMultilevel"/>
    <w:tmpl w:val="0E8208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E62F0"/>
    <w:multiLevelType w:val="hybridMultilevel"/>
    <w:tmpl w:val="B0F66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44660"/>
    <w:multiLevelType w:val="hybridMultilevel"/>
    <w:tmpl w:val="079C6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4BB095D"/>
    <w:multiLevelType w:val="hybridMultilevel"/>
    <w:tmpl w:val="AC9C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8115">
    <w:abstractNumId w:val="0"/>
  </w:num>
  <w:num w:numId="2" w16cid:durableId="961152357">
    <w:abstractNumId w:val="3"/>
  </w:num>
  <w:num w:numId="3" w16cid:durableId="956838710">
    <w:abstractNumId w:val="4"/>
  </w:num>
  <w:num w:numId="4" w16cid:durableId="1623346403">
    <w:abstractNumId w:val="2"/>
  </w:num>
  <w:num w:numId="5" w16cid:durableId="147117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CC"/>
    <w:rsid w:val="00010575"/>
    <w:rsid w:val="00044A27"/>
    <w:rsid w:val="00045733"/>
    <w:rsid w:val="00047AC6"/>
    <w:rsid w:val="000856BE"/>
    <w:rsid w:val="00093CDA"/>
    <w:rsid w:val="000A5C85"/>
    <w:rsid w:val="000C59B7"/>
    <w:rsid w:val="000E0A8C"/>
    <w:rsid w:val="000E2A20"/>
    <w:rsid w:val="00145179"/>
    <w:rsid w:val="00157F69"/>
    <w:rsid w:val="0019769C"/>
    <w:rsid w:val="001C78A5"/>
    <w:rsid w:val="001D5444"/>
    <w:rsid w:val="002009CC"/>
    <w:rsid w:val="002145A3"/>
    <w:rsid w:val="00215ECD"/>
    <w:rsid w:val="00235BF5"/>
    <w:rsid w:val="00245B0D"/>
    <w:rsid w:val="00275C6A"/>
    <w:rsid w:val="002949B3"/>
    <w:rsid w:val="002A3A7E"/>
    <w:rsid w:val="002B2373"/>
    <w:rsid w:val="002B5A8D"/>
    <w:rsid w:val="002B7E9A"/>
    <w:rsid w:val="002F0069"/>
    <w:rsid w:val="002F3A79"/>
    <w:rsid w:val="00332A9A"/>
    <w:rsid w:val="00366FDB"/>
    <w:rsid w:val="003739AA"/>
    <w:rsid w:val="003808A5"/>
    <w:rsid w:val="003808EA"/>
    <w:rsid w:val="003866B2"/>
    <w:rsid w:val="003944FA"/>
    <w:rsid w:val="003C7FD2"/>
    <w:rsid w:val="003D3976"/>
    <w:rsid w:val="003E0478"/>
    <w:rsid w:val="0042398D"/>
    <w:rsid w:val="004362D2"/>
    <w:rsid w:val="00440EF1"/>
    <w:rsid w:val="004815DC"/>
    <w:rsid w:val="00481976"/>
    <w:rsid w:val="00486AB9"/>
    <w:rsid w:val="004875C2"/>
    <w:rsid w:val="004A0E3C"/>
    <w:rsid w:val="004B777D"/>
    <w:rsid w:val="004E280B"/>
    <w:rsid w:val="00505ED4"/>
    <w:rsid w:val="00523102"/>
    <w:rsid w:val="00542181"/>
    <w:rsid w:val="005624A6"/>
    <w:rsid w:val="00576CED"/>
    <w:rsid w:val="00582A8E"/>
    <w:rsid w:val="005E4FE7"/>
    <w:rsid w:val="005E5EDA"/>
    <w:rsid w:val="00617301"/>
    <w:rsid w:val="00620EBA"/>
    <w:rsid w:val="00621F60"/>
    <w:rsid w:val="006354B2"/>
    <w:rsid w:val="006512F2"/>
    <w:rsid w:val="006636A5"/>
    <w:rsid w:val="00675629"/>
    <w:rsid w:val="006863A1"/>
    <w:rsid w:val="00687550"/>
    <w:rsid w:val="006C3366"/>
    <w:rsid w:val="006C641A"/>
    <w:rsid w:val="006E16AD"/>
    <w:rsid w:val="006E47C9"/>
    <w:rsid w:val="006F0DE5"/>
    <w:rsid w:val="006F0F8C"/>
    <w:rsid w:val="00711EDB"/>
    <w:rsid w:val="00736488"/>
    <w:rsid w:val="00741446"/>
    <w:rsid w:val="00745807"/>
    <w:rsid w:val="00746F34"/>
    <w:rsid w:val="00752CA8"/>
    <w:rsid w:val="00753C85"/>
    <w:rsid w:val="007733A6"/>
    <w:rsid w:val="007A3493"/>
    <w:rsid w:val="007B31DC"/>
    <w:rsid w:val="007C37FE"/>
    <w:rsid w:val="007C4D8B"/>
    <w:rsid w:val="007C7A90"/>
    <w:rsid w:val="0081403C"/>
    <w:rsid w:val="00824445"/>
    <w:rsid w:val="00840B93"/>
    <w:rsid w:val="00853FA2"/>
    <w:rsid w:val="00856713"/>
    <w:rsid w:val="00876891"/>
    <w:rsid w:val="00884779"/>
    <w:rsid w:val="008A00E8"/>
    <w:rsid w:val="008B1D73"/>
    <w:rsid w:val="008B1FED"/>
    <w:rsid w:val="008B7294"/>
    <w:rsid w:val="008C4A6F"/>
    <w:rsid w:val="008E4EB3"/>
    <w:rsid w:val="0094082F"/>
    <w:rsid w:val="0095303F"/>
    <w:rsid w:val="00975CB1"/>
    <w:rsid w:val="009D3919"/>
    <w:rsid w:val="009F0ABB"/>
    <w:rsid w:val="00A03A52"/>
    <w:rsid w:val="00A069EF"/>
    <w:rsid w:val="00A142C4"/>
    <w:rsid w:val="00A22B8B"/>
    <w:rsid w:val="00A47E23"/>
    <w:rsid w:val="00A57F9E"/>
    <w:rsid w:val="00A62819"/>
    <w:rsid w:val="00A830DA"/>
    <w:rsid w:val="00A958ED"/>
    <w:rsid w:val="00AE1851"/>
    <w:rsid w:val="00AE3CA6"/>
    <w:rsid w:val="00AE67CC"/>
    <w:rsid w:val="00B135A4"/>
    <w:rsid w:val="00B2491B"/>
    <w:rsid w:val="00B24E70"/>
    <w:rsid w:val="00B5249F"/>
    <w:rsid w:val="00BA6745"/>
    <w:rsid w:val="00BB7DAA"/>
    <w:rsid w:val="00C01D2C"/>
    <w:rsid w:val="00C1267B"/>
    <w:rsid w:val="00C53772"/>
    <w:rsid w:val="00C6019E"/>
    <w:rsid w:val="00C716A1"/>
    <w:rsid w:val="00CC53C0"/>
    <w:rsid w:val="00CD521B"/>
    <w:rsid w:val="00D0083E"/>
    <w:rsid w:val="00D3245C"/>
    <w:rsid w:val="00D66C43"/>
    <w:rsid w:val="00D8109F"/>
    <w:rsid w:val="00D911FC"/>
    <w:rsid w:val="00D97D3E"/>
    <w:rsid w:val="00DB15E7"/>
    <w:rsid w:val="00DE249F"/>
    <w:rsid w:val="00DF6783"/>
    <w:rsid w:val="00E05188"/>
    <w:rsid w:val="00E05435"/>
    <w:rsid w:val="00E07DA6"/>
    <w:rsid w:val="00E12B5F"/>
    <w:rsid w:val="00E20A73"/>
    <w:rsid w:val="00E343FA"/>
    <w:rsid w:val="00E42AEE"/>
    <w:rsid w:val="00E56F53"/>
    <w:rsid w:val="00EC3935"/>
    <w:rsid w:val="00ED7F6F"/>
    <w:rsid w:val="00EE74B3"/>
    <w:rsid w:val="00F005E0"/>
    <w:rsid w:val="00F163F6"/>
    <w:rsid w:val="00F562BA"/>
    <w:rsid w:val="00F6261C"/>
    <w:rsid w:val="00FB0ACE"/>
    <w:rsid w:val="00FB7234"/>
    <w:rsid w:val="00FC73A6"/>
    <w:rsid w:val="00FD1C5C"/>
    <w:rsid w:val="00FD48BC"/>
    <w:rsid w:val="00FF437C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6A5ED"/>
  <w15:chartTrackingRefBased/>
  <w15:docId w15:val="{C690F5E5-3D41-4AC2-84AB-AF5D7033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D2"/>
    <w:pPr>
      <w:spacing w:after="40" w:line="240" w:lineRule="auto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733"/>
    <w:pPr>
      <w:keepNext/>
      <w:keepLines/>
      <w:spacing w:before="240" w:after="0"/>
      <w:outlineLvl w:val="0"/>
    </w:pPr>
    <w:rPr>
      <w:rFonts w:ascii="Rockwell" w:eastAsiaTheme="majorEastAsia" w:hAnsi="Rockwel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30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3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7301"/>
  </w:style>
  <w:style w:type="paragraph" w:styleId="Footer">
    <w:name w:val="footer"/>
    <w:basedOn w:val="Normal"/>
    <w:link w:val="FooterChar"/>
    <w:uiPriority w:val="99"/>
    <w:unhideWhenUsed/>
    <w:rsid w:val="006173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7301"/>
  </w:style>
  <w:style w:type="paragraph" w:styleId="ListParagraph">
    <w:name w:val="List Paragraph"/>
    <w:basedOn w:val="Normal"/>
    <w:uiPriority w:val="34"/>
    <w:qFormat/>
    <w:rsid w:val="004362D2"/>
    <w:pPr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6F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F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5733"/>
    <w:rPr>
      <w:rFonts w:ascii="Rockwell" w:eastAsiaTheme="majorEastAsia" w:hAnsi="Rockwell" w:cstheme="majorBidi"/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yperlink" Target="https://cdn.shopify.com/s/files/1/1298/6995/products/45b64215ac019.jpg?v=1489754760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a/url?sa=i&amp;rct=j&amp;q=&amp;esrc=s&amp;source=images&amp;cd=&amp;cad=rja&amp;uact=8&amp;ved=0ahUKEwjTgca3rK3XAhVpjlQKHaivC6MQjRwIBw&amp;url=http://www.handicappedequipment.org/handicapped-transfer-gait-belts/&amp;psig=AOvVaw2e2GelTmFUv9rnxpw08ZVV&amp;ust=151017442363027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tsinc.mb.ca/" TargetMode="External"/><Relationship Id="rId2" Type="http://schemas.openxmlformats.org/officeDocument/2006/relationships/hyperlink" Target="http://www.ctsinc.mb.ca/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Cornejo</dc:creator>
  <cp:keywords/>
  <dc:description/>
  <cp:lastModifiedBy>Carol Scott</cp:lastModifiedBy>
  <cp:revision>2</cp:revision>
  <cp:lastPrinted>2025-12-24T15:48:00Z</cp:lastPrinted>
  <dcterms:created xsi:type="dcterms:W3CDTF">2026-02-18T20:49:00Z</dcterms:created>
  <dcterms:modified xsi:type="dcterms:W3CDTF">2026-02-18T20:49:00Z</dcterms:modified>
</cp:coreProperties>
</file>